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49" w:rsidRDefault="00452B49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Tricia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Haggerty</w:t>
      </w:r>
    </w:p>
    <w:p w:rsidR="00452B49" w:rsidRDefault="00452B49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25/10/2011</w:t>
      </w:r>
    </w:p>
    <w:p w:rsidR="00452B49" w:rsidRDefault="00452B49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SPA 450</w:t>
      </w:r>
    </w:p>
    <w:p w:rsidR="00452B49" w:rsidRDefault="00E12665" w:rsidP="00452B49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Bibliografía</w:t>
      </w:r>
    </w:p>
    <w:p w:rsid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Alberich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, José. “Ambigüedad y humorismo en las </w:t>
      </w:r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de Valle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Incl</w:t>
      </w:r>
      <w:proofErr w:type="spellEnd"/>
      <w:r w:rsidR="005D3B0E">
        <w:rPr>
          <w:rFonts w:ascii="Times New Roman" w:hAnsi="Times New Roman" w:cs="Times New Roman"/>
          <w:sz w:val="24"/>
          <w:szCs w:val="24"/>
          <w:lang w:val="es-ES_tradnl"/>
        </w:rPr>
        <w:t>á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n.” </w:t>
      </w:r>
      <w:proofErr w:type="spellStart"/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Hispanic</w:t>
      </w:r>
      <w:proofErr w:type="spellEnd"/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Review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73EF3" w:rsidRPr="007B266D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33.4. (1965): 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ab/>
        <w:t xml:space="preserve">360-382.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. &lt;www.jstor.org&gt; </w:t>
      </w:r>
    </w:p>
    <w:p w:rsidR="00F73EF3" w:rsidRPr="007B266D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B266D">
        <w:rPr>
          <w:rFonts w:ascii="Times New Roman" w:hAnsi="Times New Roman" w:cs="Times New Roman"/>
          <w:sz w:val="24"/>
          <w:szCs w:val="24"/>
          <w:lang w:val="es-ES"/>
        </w:rPr>
        <w:tab/>
        <w:t xml:space="preserve">El artículo de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Alberich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define y explica la ironía y 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humorismo en las </w:t>
      </w:r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, aunque muchos que han evaluado las obras no ven este punto de vista.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Alberich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explica la ironía de la representación del don Juan en la </w:t>
      </w:r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Sonata de otoño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. También, describe el humor de los pobres que hablan en su propia lengua, lo que consiste 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una mezcla de español y palabras inventadas. Luego,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Alberich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describe la ambigüedad de la religión, amor, y muerte 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todas las </w:t>
      </w:r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. Empieza con la religión y dice que aunque los personajes son religiosos,  </w:t>
      </w:r>
      <w:r>
        <w:rPr>
          <w:rFonts w:ascii="Times New Roman" w:hAnsi="Times New Roman" w:cs="Times New Roman"/>
          <w:sz w:val="24"/>
          <w:szCs w:val="24"/>
          <w:lang w:val="es-ES"/>
        </w:rPr>
        <w:t>sienten la superstición también, lo que es algo contradictorio.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Da numer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as citas y ejemplos de bromas irreligiosas que se demuestran a través de las </w:t>
      </w:r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. Para continuar, 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 xml:space="preserve"> comenta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la ambigüedad de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amor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 xml:space="preserve"> re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specto 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l papel de don Juan y el sexo. Finalmente, explica la ironía de la muerte y da varios ejemplos de escenas con este concepto. Usa 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l protagonista,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como un ejemplo central de la idea de ironía porque él es un héroe y anti-héroe. Al fin</w:t>
      </w:r>
      <w:r w:rsidR="005D3B0E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, explica el humor del orden de las </w:t>
      </w:r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cmo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se relaciona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73EF3" w:rsidRPr="007B266D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B266D">
        <w:rPr>
          <w:rFonts w:ascii="Times New Roman" w:hAnsi="Times New Roman" w:cs="Times New Roman"/>
          <w:sz w:val="24"/>
          <w:szCs w:val="24"/>
          <w:lang w:val="es-ES"/>
        </w:rPr>
        <w:tab/>
        <w:t xml:space="preserve">Francamente, no vale la pena leer este artículo. Opino que es muy confuso y difícil seguir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autor. </w:t>
      </w:r>
      <w:proofErr w:type="spellStart"/>
      <w:r w:rsidRPr="007B266D">
        <w:rPr>
          <w:rFonts w:ascii="Times New Roman" w:hAnsi="Times New Roman" w:cs="Times New Roman"/>
          <w:sz w:val="24"/>
          <w:szCs w:val="24"/>
          <w:lang w:val="es-ES"/>
        </w:rPr>
        <w:t>Alberich</w:t>
      </w:r>
      <w:proofErr w:type="spellEnd"/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usa muchas citas, lo que es beneficial cuando quiere probar su punto de vista, pero al mismo tiempo, me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 xml:space="preserve">perdió 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es-ES"/>
        </w:rPr>
        <w:t>muchos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de los ejemplos y números de páginas. Da a sus lectores la información antes de las citas, pero después, no explica muy bien su postura. Entiendo su tesis y lo que desea decir, pero al mismo tiempo, no creo que su comentario sea muy fuerte ni 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claro. Es impresionante que tenga mucha evidencia, pero cuando no la explica muy definitiva, no apoya  su opinión. Es difícil comprender el artículo porque no he leído todas las </w:t>
      </w:r>
      <w:r w:rsidRPr="007B266D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no tengo ninguna idea clara de lo que pasa en las obras.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B57E45"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mí, no me ayuda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7B266D">
        <w:rPr>
          <w:rFonts w:ascii="Times New Roman" w:hAnsi="Times New Roman" w:cs="Times New Roman"/>
          <w:sz w:val="24"/>
          <w:szCs w:val="24"/>
          <w:lang w:val="es-ES"/>
        </w:rPr>
        <w:t xml:space="preserve">entender mejor las obras y no recomendaría a nadie que  lea el artículo. </w:t>
      </w:r>
    </w:p>
    <w:p w:rsid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>, Daniel E. “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Parody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in Valle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Inclán’s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Sonata de </w:t>
      </w:r>
      <w:r w:rsidR="00B57E45">
        <w:rPr>
          <w:rFonts w:ascii="Times New Roman" w:hAnsi="Times New Roman" w:cs="Times New Roman"/>
          <w:i/>
          <w:sz w:val="24"/>
          <w:szCs w:val="24"/>
          <w:lang w:val="es-ES"/>
        </w:rPr>
        <w:t>o</w:t>
      </w:r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toño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’” </w:t>
      </w:r>
      <w:r w:rsidRPr="00784A22">
        <w:rPr>
          <w:rFonts w:ascii="Times New Roman" w:hAnsi="Times New Roman" w:cs="Times New Roman"/>
          <w:i/>
          <w:sz w:val="24"/>
          <w:szCs w:val="24"/>
          <w:lang w:val="es-ES"/>
        </w:rPr>
        <w:t>Revista Hispánica Moderna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73EF3" w:rsidRPr="00784A22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36.1/2 (1970/1971): 21-31.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>. &lt;www.jstor.org&gt;.</w:t>
      </w:r>
    </w:p>
    <w:p w:rsidR="00F73EF3" w:rsidRPr="00784A22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84A22"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escribió sobre la parodia 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784A22">
        <w:rPr>
          <w:rFonts w:ascii="Times New Roman" w:hAnsi="Times New Roman" w:cs="Times New Roman"/>
          <w:i/>
          <w:sz w:val="24"/>
          <w:szCs w:val="24"/>
          <w:lang w:val="es-ES"/>
        </w:rPr>
        <w:t>Sonata de otoño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a través de ciertos personajes y circunstancias. Primero, sugiere que “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is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Valle Inclán” (22). También,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describe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como una parodia porque representa un tipo especial de don Juan porque tiene características mezcladas y contradictorias.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Asimismo,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 representa un don Juan </w:t>
      </w:r>
      <w:r w:rsidR="00B57E45"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especial 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porque elige una mujer muy débil e insana en vez de una dama más normal.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dice que por toda la obra,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combina el sexo y la religión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autor 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da algunos ejemplos del texto de este concepto. Además,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se da cuenta que hay muchas parodias entre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y Concha, su amante. Eso es porque son primos, y aunque el matrimonio entre la familia es algo bastante común durante esta época,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debe actuar como un protector de su familia. </w:t>
      </w:r>
      <w:r>
        <w:rPr>
          <w:rFonts w:ascii="Times New Roman" w:hAnsi="Times New Roman" w:cs="Times New Roman"/>
          <w:sz w:val="24"/>
          <w:szCs w:val="24"/>
          <w:lang w:val="es-ES"/>
        </w:rPr>
        <w:t>Es claro que n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o tiene mucho honor, lo que es algo que debe poseer como un tipo de don Juan. Luego,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muestra el ejemplo de la muerte de Concha como una parodia porque otra vez, combina el sexo y la religión. Com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ete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un pecado moral mientras muere, y </w:t>
      </w:r>
      <w:r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>, significa que la idea de un pecado aumenta su placer. Termina su artíc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ulo con la idea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es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la parodia central de la </w:t>
      </w:r>
      <w:r w:rsidRPr="00784A22">
        <w:rPr>
          <w:rFonts w:ascii="Times New Roman" w:hAnsi="Times New Roman" w:cs="Times New Roman"/>
          <w:i/>
          <w:sz w:val="24"/>
          <w:szCs w:val="24"/>
          <w:lang w:val="es-ES"/>
        </w:rPr>
        <w:t>Sonata de otoño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73EF3" w:rsidRPr="00784A22" w:rsidRDefault="00F73EF3" w:rsidP="00F73EF3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84A22">
        <w:rPr>
          <w:rFonts w:ascii="Times New Roman" w:hAnsi="Times New Roman" w:cs="Times New Roman"/>
          <w:sz w:val="24"/>
          <w:szCs w:val="24"/>
          <w:lang w:val="es-ES"/>
        </w:rPr>
        <w:tab/>
        <w:t xml:space="preserve">Opino que este artículo vale la pena leerlo. Tiene mucha información virtuosa y útil.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presenta la idea de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como un tipo </w:t>
      </w:r>
      <w:r w:rsidR="00B57E45"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especial 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de don Juan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una manera muy clara. Aunque enfoca en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>, también muestra otras parodias que se presenta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a través de 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lastRenderedPageBreak/>
        <w:t>toda la novela. Relaciona mucha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de sus ideas con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como su punt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central. Usa citas diferentes y ejemplos que funcionan como evidencia. Su vocabulario es razonable y comprensible y creo que es un artículo a un nivel apropiado.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demuestra ideas </w:t>
      </w:r>
      <w:r w:rsidR="00B57E45">
        <w:rPr>
          <w:rFonts w:ascii="Times New Roman" w:hAnsi="Times New Roman" w:cs="Times New Roman"/>
          <w:sz w:val="24"/>
          <w:szCs w:val="24"/>
          <w:lang w:val="es-ES"/>
        </w:rPr>
        <w:t xml:space="preserve">en las 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que yo no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pensabaantes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E039F5">
        <w:rPr>
          <w:rFonts w:ascii="Times New Roman" w:hAnsi="Times New Roman" w:cs="Times New Roman"/>
          <w:sz w:val="24"/>
          <w:szCs w:val="24"/>
          <w:lang w:val="es-ES"/>
        </w:rPr>
        <w:t>leer</w:t>
      </w:r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su artículo. Por lo general, </w:t>
      </w:r>
      <w:proofErr w:type="spellStart"/>
      <w:r w:rsidRPr="00784A22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784A22">
        <w:rPr>
          <w:rFonts w:ascii="Times New Roman" w:hAnsi="Times New Roman" w:cs="Times New Roman"/>
          <w:sz w:val="24"/>
          <w:szCs w:val="24"/>
          <w:lang w:val="es-ES"/>
        </w:rPr>
        <w:t xml:space="preserve"> logra su objetivo en su presentación de ideas y ejemplos.</w:t>
      </w:r>
    </w:p>
    <w:p w:rsidR="00F73EF3" w:rsidRDefault="00F73EF3" w:rsidP="00F73EF3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Loureiro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, Ángel G. “La estética y la 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irada de la muerte: </w:t>
      </w:r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Sonata de otoño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.” </w:t>
      </w:r>
      <w:r w:rsidRPr="006C39D3">
        <w:rPr>
          <w:rFonts w:ascii="Times New Roman" w:hAnsi="Times New Roman" w:cs="Times New Roman"/>
          <w:i/>
          <w:sz w:val="24"/>
          <w:szCs w:val="24"/>
          <w:lang w:val="es-ES"/>
        </w:rPr>
        <w:t xml:space="preserve">Revista Hispánica </w:t>
      </w:r>
    </w:p>
    <w:p w:rsidR="00F73EF3" w:rsidRPr="006C39D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tab/>
      </w:r>
      <w:r w:rsidRPr="006C39D3">
        <w:rPr>
          <w:rFonts w:ascii="Times New Roman" w:hAnsi="Times New Roman" w:cs="Times New Roman"/>
          <w:i/>
          <w:sz w:val="24"/>
          <w:szCs w:val="24"/>
          <w:lang w:val="es-ES"/>
        </w:rPr>
        <w:t xml:space="preserve">Moderna 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46.1 (1993): 34-50.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. &lt;www.jostor.org&gt; </w:t>
      </w:r>
    </w:p>
    <w:p w:rsidR="00F73EF3" w:rsidRPr="006C39D3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C39D3">
        <w:rPr>
          <w:rFonts w:ascii="Times New Roman" w:hAnsi="Times New Roman" w:cs="Times New Roman"/>
          <w:sz w:val="24"/>
          <w:szCs w:val="24"/>
          <w:lang w:val="es-ES"/>
        </w:rPr>
        <w:tab/>
        <w:t xml:space="preserve">En el artículo,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Loureiro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escribe, 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por la</w:t>
      </w:r>
      <w:r w:rsidR="003E13C5"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mayor parte, de la muerte de Concha y el papel de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Loureriro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usa cuatro “códigos” para elaborar en el personaje de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. Estos códigos consisten 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3E13C5"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moralidad, esteticismo, mimetismo, y religión. Explica que hay un conflicto en la moralidad de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porque es bueno y perverso. Se muestra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 xml:space="preserve"> así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a través de su relación con Concha. Continúa con el segundo código de esteticismo donde hay descripciones y detallas de objetos físicos, abstractos, y obras de arte.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Loureiro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da ejemplos claros de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y su influencia en este código. El tercer código, el mimetismo, se representa cuando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imita figuras religiosas. Finalmente, el código religioso se muestra en la muerte de Concha y </w:t>
      </w:r>
      <w:r>
        <w:rPr>
          <w:rFonts w:ascii="Times New Roman" w:hAnsi="Times New Roman" w:cs="Times New Roman"/>
          <w:sz w:val="24"/>
          <w:szCs w:val="24"/>
          <w:lang w:val="es-ES"/>
        </w:rPr>
        <w:t>con el debate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si ella muere en pecado mortal. Hacia el final,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Loureiro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explica más sobre la estética y la conexión 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>on dos mundos: lo ideal y lo real. Termina con la ironía de la muerte y la estética.</w:t>
      </w:r>
    </w:p>
    <w:p w:rsidR="00F73EF3" w:rsidRPr="006C39D3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C39D3">
        <w:rPr>
          <w:rFonts w:ascii="Times New Roman" w:hAnsi="Times New Roman" w:cs="Times New Roman"/>
          <w:sz w:val="24"/>
          <w:szCs w:val="24"/>
          <w:lang w:val="es-ES"/>
        </w:rPr>
        <w:tab/>
        <w:t xml:space="preserve">En mi opinión, el artículo es bastante bueno en el sentido de organización y consistencia. El principio es muy claro y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Loureiro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se explica muy bien. Se puede seguir sus ideas y entenderlas con facilidad. Usa ejemplos del libro y cita el texto directamente. Hacia el fin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, el autor explica más sobre el código estético, y para mí, es bastante complicado. 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Se r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efiere a otro texto escrito en inglés, y no podía entender el concepto todavía. Creo que es porque su idea es más abstracta. Elabora del mundo real e ideal y su percepción es muy profunda. Su vocabulario 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lastRenderedPageBreak/>
        <w:t>es un poco complicado también. Esperaba que enfocara más en la muerte, pero se bas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 más en el papel de </w:t>
      </w:r>
      <w:proofErr w:type="spellStart"/>
      <w:r w:rsidRPr="006C39D3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. Opino que este artículo me ayuda </w:t>
      </w:r>
      <w:r w:rsidR="003E13C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6C39D3">
        <w:rPr>
          <w:rFonts w:ascii="Times New Roman" w:hAnsi="Times New Roman" w:cs="Times New Roman"/>
          <w:sz w:val="24"/>
          <w:szCs w:val="24"/>
          <w:lang w:val="es-ES"/>
        </w:rPr>
        <w:t xml:space="preserve">entender el texto mejor, pero al mismo tiempo es difícil comprenderlo en total. </w:t>
      </w:r>
    </w:p>
    <w:p w:rsidR="00F73EF3" w:rsidRDefault="00F73EF3" w:rsidP="00F73EF3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, Robert C. “El donjuanismo y las construcciones sociales de las </w:t>
      </w:r>
      <w:r w:rsidR="001C16EC" w:rsidRPr="00E12665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onat</w:t>
      </w:r>
      <w:r w:rsidR="001C16EC" w:rsidRPr="00E12665">
        <w:rPr>
          <w:rFonts w:ascii="Times New Roman" w:hAnsi="Times New Roman" w:cs="Times New Roman"/>
          <w:i/>
          <w:sz w:val="24"/>
          <w:szCs w:val="24"/>
          <w:lang w:val="es-ES"/>
        </w:rPr>
        <w:t>a</w:t>
      </w:r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.”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Anales de la </w:t>
      </w:r>
    </w:p>
    <w:p w:rsidR="00F73EF3" w:rsidRPr="00CA768B" w:rsidRDefault="001C16EC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s-ES"/>
        </w:rPr>
        <w:t>L</w:t>
      </w:r>
      <w:r w:rsidR="00F73EF3" w:rsidRPr="00CA768B">
        <w:rPr>
          <w:rFonts w:ascii="Times New Roman" w:hAnsi="Times New Roman" w:cs="Times New Roman"/>
          <w:i/>
          <w:sz w:val="24"/>
          <w:szCs w:val="24"/>
          <w:lang w:val="es-ES"/>
        </w:rPr>
        <w:t>literatura</w:t>
      </w:r>
      <w:proofErr w:type="spellEnd"/>
      <w:r w:rsidR="00F73EF3" w:rsidRPr="00CA76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E</w:t>
      </w:r>
      <w:r w:rsidR="00F73EF3" w:rsidRPr="00CA76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spañola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="00F73EF3" w:rsidRPr="00CA768B">
        <w:rPr>
          <w:rFonts w:ascii="Times New Roman" w:hAnsi="Times New Roman" w:cs="Times New Roman"/>
          <w:i/>
          <w:sz w:val="24"/>
          <w:szCs w:val="24"/>
          <w:lang w:val="es-ES"/>
        </w:rPr>
        <w:t>ontemporánea</w:t>
      </w:r>
      <w:r w:rsidR="00F73EF3"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23.1/2 (1998): 479-494. </w:t>
      </w:r>
      <w:proofErr w:type="spellStart"/>
      <w:r w:rsidR="00F73EF3" w:rsidRPr="00CA768B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="00F73EF3" w:rsidRPr="00CA768B">
        <w:rPr>
          <w:rFonts w:ascii="Times New Roman" w:hAnsi="Times New Roman" w:cs="Times New Roman"/>
          <w:sz w:val="24"/>
          <w:szCs w:val="24"/>
          <w:lang w:val="es-ES"/>
        </w:rPr>
        <w:t>. &lt;www.jstor.org &gt;</w:t>
      </w:r>
    </w:p>
    <w:p w:rsidR="00F73EF3" w:rsidRPr="00CA768B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A768B">
        <w:rPr>
          <w:rFonts w:ascii="Times New Roman" w:hAnsi="Times New Roman" w:cs="Times New Roman"/>
          <w:sz w:val="24"/>
          <w:szCs w:val="24"/>
          <w:lang w:val="es-ES"/>
        </w:rPr>
        <w:tab/>
        <w:t xml:space="preserve">En su artículo,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discute la representación del don Juan y el impacto de las clases sociales. Para empezar, explica que cada sociedad tiene alguna for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 de clase social, y esa idea 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es normal ambos hoy en día y en los siglos pasados.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explora y analiza las cuatro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demo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strar las construcciones sociales y el donjuanismo. Dice que se ve la diferencia social entre los hombres crueles y las mujeres pasivas. Un personaje principal, el Marqués de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, desempeña ese papel del don Juan por sus acciones políticas y con las mujeres. En las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>, el hombre se representa como el don Juan y también como sant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>. La mujer española se representa como pura e ideal mientras que la mujer mexicana (que se encuentra en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 de primavera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>) se representa como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 xml:space="preserve"> una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“belleza bronceada, exótica” (484). Luego,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añade que en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 de otoño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hay una brecha entre las clases sociales que se puede ver en una escena con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y algunos pobres. Además, explica que estas clases sociales no pueden evitarse porque las personas heredan sus papeles a través del nacimiento y construcciones familiares. Al final de su artículo,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comenta que hay corrupción 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la sociedad y todo el mundo es una víctima, sea hombre o mujer.</w:t>
      </w:r>
    </w:p>
    <w:p w:rsidR="00F73EF3" w:rsidRPr="00CC295D" w:rsidRDefault="00F73EF3" w:rsidP="00F73EF3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CA768B">
        <w:rPr>
          <w:rFonts w:ascii="Times New Roman" w:hAnsi="Times New Roman" w:cs="Times New Roman"/>
          <w:sz w:val="24"/>
          <w:szCs w:val="24"/>
          <w:lang w:val="es-ES"/>
        </w:rPr>
        <w:tab/>
        <w:t xml:space="preserve">Creo que las ideas de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son v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>lidas porque se explica bien y tiene la evidencia de citas para demostrar su valía. Estoy de acuerdo cuando dice que se puede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encontrar las clases sociales e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n casi cada sociedad porque siempre hay algún tipo de poder. Su artículo no vale la pena  leerlo en total porque habla muchas veces de todas las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y estamos enfocando solo 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en la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 de otoño.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Muestra un buen ejemplo de la diferencia en la clase social de esta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, pero no es su foco principal. </w:t>
      </w:r>
      <w:r w:rsidRPr="00D750BA">
        <w:rPr>
          <w:rFonts w:ascii="Times New Roman" w:hAnsi="Times New Roman" w:cs="Times New Roman"/>
          <w:sz w:val="24"/>
          <w:szCs w:val="24"/>
          <w:lang w:val="es-ES"/>
        </w:rPr>
        <w:t>Además, a mí me gusta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que se da cuenta </w:t>
      </w:r>
      <w:proofErr w:type="spellStart"/>
      <w:r w:rsidRPr="00CA768B">
        <w:rPr>
          <w:rFonts w:ascii="Times New Roman" w:hAnsi="Times New Roman" w:cs="Times New Roman"/>
          <w:sz w:val="24"/>
          <w:szCs w:val="24"/>
          <w:lang w:val="es-ES"/>
        </w:rPr>
        <w:t>Spires</w:t>
      </w:r>
      <w:proofErr w:type="spellEnd"/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que cada lector puede interpretar la obra 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una manera diferente. Aunque es la verdad, creo que su interpretación tiene sentido porque su evidencia es fuerte, y se explica bien. En fin, opino que el artículo es útil si se lee</w:t>
      </w:r>
      <w:r w:rsidR="001C16E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 todas las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Sonatas</w:t>
      </w:r>
      <w:r w:rsidRPr="00CA768B">
        <w:rPr>
          <w:rFonts w:ascii="Times New Roman" w:hAnsi="Times New Roman" w:cs="Times New Roman"/>
          <w:sz w:val="24"/>
          <w:szCs w:val="24"/>
          <w:lang w:val="es-ES"/>
        </w:rPr>
        <w:t xml:space="preserve">, pero no hay mucha información si solo se lee la </w:t>
      </w:r>
      <w:r w:rsidRPr="00CA768B">
        <w:rPr>
          <w:rFonts w:ascii="Times New Roman" w:hAnsi="Times New Roman" w:cs="Times New Roman"/>
          <w:i/>
          <w:sz w:val="24"/>
          <w:szCs w:val="24"/>
          <w:lang w:val="es-ES"/>
        </w:rPr>
        <w:t>Sonata de otoño.</w:t>
      </w:r>
    </w:p>
    <w:p w:rsid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Valis</w:t>
      </w:r>
      <w:proofErr w:type="spellEnd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Noël</w:t>
      </w:r>
      <w:proofErr w:type="spellEnd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M. “</w:t>
      </w:r>
      <w:proofErr w:type="spellStart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The</w:t>
      </w:r>
      <w:proofErr w:type="spellEnd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Novel as </w:t>
      </w:r>
      <w:proofErr w:type="spellStart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Feminine</w:t>
      </w:r>
      <w:proofErr w:type="spellEnd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Entrapment</w:t>
      </w:r>
      <w:proofErr w:type="spellEnd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: Valle-</w:t>
      </w:r>
      <w:proofErr w:type="spellStart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>Inclán’s</w:t>
      </w:r>
      <w:proofErr w:type="spellEnd"/>
      <w:r w:rsidRPr="00E12665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Sonata de otoño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.” MLN: </w:t>
      </w:r>
    </w:p>
    <w:p w:rsidR="00F73EF3" w:rsidRPr="005A07F8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104.2 1989. 351-569.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>. &lt;www.jstor.org&gt;</w:t>
      </w:r>
    </w:p>
    <w:p w:rsidR="00F73EF3" w:rsidRPr="005A07F8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A07F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CC295D"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>autor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de este artículo,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, explora la idea de la conexión entre Valle-Inclán y su obra. Además, explica el papel femenino a través de la novela. Primero,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explica que Vallen-Inclán se muestra </w:t>
      </w:r>
      <w:r>
        <w:rPr>
          <w:rFonts w:ascii="Times New Roman" w:hAnsi="Times New Roman" w:cs="Times New Roman"/>
          <w:sz w:val="24"/>
          <w:szCs w:val="24"/>
          <w:lang w:val="es-ES"/>
        </w:rPr>
        <w:t>a través de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su narrador, y su masculinidad es muy evidente. Sugiere que “…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Marqu</w:t>
      </w:r>
      <w:r>
        <w:rPr>
          <w:rFonts w:ascii="Times New Roman" w:hAnsi="Times New Roman" w:cs="Times New Roman"/>
          <w:sz w:val="24"/>
          <w:szCs w:val="24"/>
          <w:lang w:val="es-ES"/>
        </w:rPr>
        <w:t>és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[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Valle-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Inclan’s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alter ego…” También dice que la obra es una reflexión de los deseos sexuales de un hombre, no una mujer. Concha se presenta como un objeto sexual y su enfermedad es un símbolo de la debilidad de una mujer.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piensa que es claro que los papeles de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y Concha son muy representativos de su sexo. Luego,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demuestra que el papel de Concha y la mujer en general crean un laberinto para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. Es una manera 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C295D"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atrapar a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y los lectores también.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da varios ejemplos del tex</w:t>
      </w:r>
      <w:r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o de esta idea que incluyen el pelo de Concha y algunos sueños que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Bradomín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y Concha experimentan. Para concluir,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explica un poco de la mujer como un mito y como se ve la mujer en la sociedad.</w:t>
      </w:r>
    </w:p>
    <w:p w:rsidR="00F73EF3" w:rsidRDefault="00F73EF3" w:rsidP="00F73EF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A07F8">
        <w:rPr>
          <w:rFonts w:ascii="Times New Roman" w:hAnsi="Times New Roman" w:cs="Times New Roman"/>
          <w:sz w:val="24"/>
          <w:szCs w:val="24"/>
          <w:lang w:val="es-ES"/>
        </w:rPr>
        <w:tab/>
        <w:t>Creo que este artículo vale la pena porque tiene información y ejemplos muy claros que  involucran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la mujer. La primera parte no es muy valiosa porque explica el papel del autor, Valle-Inclán, y su conexión con el texto. Lo que me interesa más es lo que sigue después de esta idea.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es un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escritor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fuerte, y algunas veces me confundió, pero se explica bien. Declara 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lastRenderedPageBreak/>
        <w:t>su punt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de vista pero tiene evidencia para 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 xml:space="preserve"> apoyarlo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. Aunque el vocabulario es un poco difícil, (y aunque </w:t>
      </w:r>
      <w:r w:rsidR="00CC295D">
        <w:rPr>
          <w:rFonts w:ascii="Times New Roman" w:hAnsi="Times New Roman" w:cs="Times New Roman"/>
          <w:sz w:val="24"/>
          <w:szCs w:val="24"/>
          <w:lang w:val="es-ES"/>
        </w:rPr>
        <w:t>está</w:t>
      </w:r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escrito en inglés) puedo entender los conceptos grandes. </w:t>
      </w:r>
      <w:proofErr w:type="spellStart"/>
      <w:r w:rsidRPr="005A07F8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5A07F8">
        <w:rPr>
          <w:rFonts w:ascii="Times New Roman" w:hAnsi="Times New Roman" w:cs="Times New Roman"/>
          <w:sz w:val="24"/>
          <w:szCs w:val="24"/>
          <w:lang w:val="es-ES"/>
        </w:rPr>
        <w:t xml:space="preserve"> tiene mucho sentido cuando elabora sus ideas. Opino que este artículo puede añadir evidencia valiosa a algún ensayo.  </w:t>
      </w:r>
    </w:p>
    <w:p w:rsidR="00F73EF3" w:rsidRPr="005A07F8" w:rsidRDefault="00E12665" w:rsidP="00F73EF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</w:t>
      </w:r>
      <w:bookmarkStart w:id="0" w:name="_GoBack"/>
      <w:bookmarkEnd w:id="0"/>
      <w:r w:rsidR="00F73EF3">
        <w:rPr>
          <w:rFonts w:ascii="Times New Roman" w:hAnsi="Times New Roman" w:cs="Times New Roman"/>
          <w:sz w:val="24"/>
          <w:szCs w:val="24"/>
          <w:lang w:val="es-ES"/>
        </w:rPr>
        <w:t>aces</w:t>
      </w:r>
    </w:p>
    <w:p w:rsidR="00F73EF3" w:rsidRP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Gulstad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>, Daniel E. “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Parody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in Valle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Inclán’s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‘Sonata de Otoño.’” </w:t>
      </w:r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>Revista Hispánica Moderna</w:t>
      </w:r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73EF3" w:rsidRP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73EF3">
        <w:rPr>
          <w:rFonts w:ascii="Times New Roman" w:hAnsi="Times New Roman" w:cs="Times New Roman"/>
          <w:sz w:val="24"/>
          <w:szCs w:val="24"/>
          <w:lang w:val="es-ES"/>
        </w:rPr>
        <w:tab/>
        <w:t xml:space="preserve">36.1/2 (1970/1971): 21-31.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73EF3" w:rsidRPr="00F73EF3" w:rsidRDefault="00E12665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hyperlink r:id="rId5" w:history="1">
        <w:r w:rsidR="00F73EF3" w:rsidRPr="005D3B0E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http://www.jstor.org/sici?sici=0034-9593%281970%2936%3A1%3C21%3A%22IVISD%3E2.0.CO%3B2-G&amp;origin=serialsolutions</w:t>
        </w:r>
      </w:hyperlink>
    </w:p>
    <w:p w:rsidR="00F73EF3" w:rsidRP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Valis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Noël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M. “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Novel as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Feminine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Entrapment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>: Valle-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Inclán’s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Sonata de otoño.” MLN: </w:t>
      </w:r>
    </w:p>
    <w:p w:rsidR="00F73EF3" w:rsidRP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73EF3">
        <w:rPr>
          <w:rFonts w:ascii="Times New Roman" w:hAnsi="Times New Roman" w:cs="Times New Roman"/>
          <w:sz w:val="24"/>
          <w:szCs w:val="24"/>
          <w:lang w:val="es-ES"/>
        </w:rPr>
        <w:tab/>
        <w:t xml:space="preserve">104.2 1989. 351-569.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5D3B0E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br/>
      </w:r>
      <w:hyperlink r:id="rId6" w:history="1">
        <w:r w:rsidRPr="005D3B0E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http://www.jstor.org/sici?sici=0026-7910%281989%29104%3A2%3C351%3ATNAFEV%3E2.0.CO%3B2-1&amp;origin=serialsolutions</w:t>
        </w:r>
      </w:hyperlink>
    </w:p>
    <w:p w:rsidR="00F73EF3" w:rsidRPr="005D3B0E" w:rsidRDefault="00F73EF3" w:rsidP="00F73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Alberich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, José. “Ambigüedad y humorismo en las Sonatas de Valle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Inclan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.” </w:t>
      </w:r>
      <w:r w:rsidRPr="005D3B0E">
        <w:rPr>
          <w:rFonts w:ascii="Times New Roman" w:hAnsi="Times New Roman" w:cs="Times New Roman"/>
          <w:i/>
          <w:sz w:val="24"/>
          <w:szCs w:val="24"/>
        </w:rPr>
        <w:t>Hispanic Review</w:t>
      </w:r>
      <w:r w:rsidRPr="005D3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F3" w:rsidRPr="005D3B0E" w:rsidRDefault="00F73EF3" w:rsidP="00F73EF3">
      <w:pPr>
        <w:rPr>
          <w:rFonts w:ascii="Times New Roman" w:hAnsi="Times New Roman" w:cs="Times New Roman"/>
          <w:sz w:val="24"/>
          <w:szCs w:val="24"/>
        </w:rPr>
      </w:pPr>
      <w:r w:rsidRPr="005D3B0E">
        <w:rPr>
          <w:rFonts w:ascii="Times New Roman" w:hAnsi="Times New Roman" w:cs="Times New Roman"/>
          <w:sz w:val="24"/>
          <w:szCs w:val="24"/>
        </w:rPr>
        <w:tab/>
        <w:t xml:space="preserve">33.4. (1965): </w:t>
      </w:r>
      <w:r w:rsidRPr="005D3B0E">
        <w:rPr>
          <w:rFonts w:ascii="Times New Roman" w:hAnsi="Times New Roman" w:cs="Times New Roman"/>
          <w:sz w:val="24"/>
          <w:szCs w:val="24"/>
        </w:rPr>
        <w:tab/>
        <w:t xml:space="preserve">360-382. Print. </w:t>
      </w:r>
      <w:r w:rsidRPr="00F73EF3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F73EF3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471292?&amp;Search=yes&amp;searchText=de&amp;searchText=Sonata&amp;searchText=oto%C3%B1o&amp;searchText=del&amp;searchText=Ram%C3%B3n&amp;searchText=Valle-Incl%C3%A1n&amp;list=hide&amp;searchUri=%2Faction%2FdoAdvancedSearch%3Fq0%3DRam%25C3%25B3n%2Bdel%2BValle-Incl%25C3%25A1n%26f0%3Dall%26c1%3DAND%26q1%3DSonata%2Bde%2Boto%25C3%25B1o%26f1%3Dall%26acc%3Don%26wc%3Don%26Search%3DSearch%26sd%3D%26ed%3D%26la%3D%26jo%3D&amp;prevSearch=&amp;item=7&amp;ttl=65&amp;returnArticleService=showFullText</w:t>
        </w:r>
      </w:hyperlink>
    </w:p>
    <w:p w:rsidR="00F73EF3" w:rsidRPr="00F73EF3" w:rsidRDefault="00F73EF3" w:rsidP="00F73EF3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Loureiro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, Ángel G. “La estética y la Mirada de la muerte: ‘Sonata de otoño.’” </w:t>
      </w:r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 xml:space="preserve">Revista Hispánica </w:t>
      </w:r>
    </w:p>
    <w:p w:rsidR="00F73EF3" w:rsidRP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ab/>
        <w:t xml:space="preserve">Moderna </w:t>
      </w:r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46.1 (1993): 34-50.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8" w:history="1">
        <w:r w:rsidRPr="005D3B0E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http://www.jstor.org/stable/30205860?seq=1&amp;Search=yes&amp;searchText=de&amp;searchText=Sonata&amp;searchText=oto%C3%B1o&amp;list=hide&amp;searchUri=%2Faction%2FdoAdvancedSearch%3Fq0%3DSonata%2Bde%2Boto%25C3%25B1o%26f0%3Dall%26c1%3DAND%26q1%3D%26f1%3Dall%26acc%3Don%26wc%3Don%26Search%3DSearch%26sd%3D%26ed%3D%26la%3D%26jo%3D&amp;prevSearch=&amp;item=6&amp;ttl=127&amp;returnArticleService=showFullText&amp;resultsServiceName=null</w:t>
        </w:r>
      </w:hyperlink>
    </w:p>
    <w:p w:rsidR="00F73EF3" w:rsidRPr="00F73EF3" w:rsidRDefault="00F73EF3" w:rsidP="00F73EF3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lastRenderedPageBreak/>
        <w:t>Spires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, Robert C. “El donjuanismo y las construcciones sociales de las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sonates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.” </w:t>
      </w:r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 xml:space="preserve">Anales de la </w:t>
      </w:r>
    </w:p>
    <w:p w:rsidR="0083133B" w:rsidRPr="00F73EF3" w:rsidRDefault="00F73EF3" w:rsidP="00F73EF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ab/>
      </w:r>
      <w:proofErr w:type="gramStart"/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>literatura</w:t>
      </w:r>
      <w:proofErr w:type="gramEnd"/>
      <w:r w:rsidRPr="00F73EF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española contemporánea</w:t>
      </w:r>
      <w:r w:rsidRPr="00F73EF3">
        <w:rPr>
          <w:rFonts w:ascii="Times New Roman" w:hAnsi="Times New Roman" w:cs="Times New Roman"/>
          <w:sz w:val="24"/>
          <w:szCs w:val="24"/>
          <w:lang w:val="es-ES"/>
        </w:rPr>
        <w:t xml:space="preserve"> 23.1/2 (1998): 479-494. </w:t>
      </w:r>
      <w:proofErr w:type="spellStart"/>
      <w:r w:rsidRPr="00F73EF3">
        <w:rPr>
          <w:rFonts w:ascii="Times New Roman" w:hAnsi="Times New Roman" w:cs="Times New Roman"/>
          <w:sz w:val="24"/>
          <w:szCs w:val="24"/>
          <w:lang w:val="es-ES"/>
        </w:rPr>
        <w:t>Print</w:t>
      </w:r>
      <w:proofErr w:type="spellEnd"/>
      <w:r w:rsidRPr="00F73EF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5D3B0E">
        <w:rPr>
          <w:rFonts w:ascii="Times New Roman" w:hAnsi="Times New Roman" w:cs="Times New Roman"/>
          <w:sz w:val="24"/>
          <w:szCs w:val="24"/>
          <w:lang w:val="es-ES_tradnl"/>
        </w:rPr>
        <w:br/>
      </w:r>
      <w:hyperlink r:id="rId9" w:history="1">
        <w:r w:rsidRPr="005D3B0E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http://www.jstor.org/stable/25642018?&amp;Search=yes&amp;searchText=de&amp;searchText=Sonata&amp;searchText=oto%C3%B1o&amp;list=hide&amp;searchUri=%2Faction%2FdoAdvancedSearch%3Fq0%3DSonata%2Bde%2Boto%25C3%25B1o%26f0%3Dall%26c1%3DAND%26q1%3D%26f1%3Dall%26acc%3Don%26wc%3Don%26Search%3DSearch%26sd%3D%26ed%3D%26la%3D%26jo%3D&amp;prevSearch=&amp;item=12&amp;ttl=127&amp;returnArticleService=showFullText</w:t>
        </w:r>
      </w:hyperlink>
    </w:p>
    <w:sectPr w:rsidR="0083133B" w:rsidRPr="00F73EF3" w:rsidSect="0083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3"/>
    <w:rsid w:val="001C16EC"/>
    <w:rsid w:val="003E13C5"/>
    <w:rsid w:val="00452B49"/>
    <w:rsid w:val="005D3B0E"/>
    <w:rsid w:val="0083133B"/>
    <w:rsid w:val="008F3BA9"/>
    <w:rsid w:val="00962685"/>
    <w:rsid w:val="00A4390E"/>
    <w:rsid w:val="00AD316C"/>
    <w:rsid w:val="00B57E45"/>
    <w:rsid w:val="00CC295D"/>
    <w:rsid w:val="00E039F5"/>
    <w:rsid w:val="00E12665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E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73E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3B0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E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73E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3B0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30205860?seq=1&amp;Search=yes&amp;searchText=de&amp;searchText=Sonata&amp;searchText=oto%C3%B1o&amp;list=hide&amp;searchUri=%2Faction%2FdoAdvancedSearch%3Fq0%3DSonata%2Bde%2Boto%25C3%25B1o%26f0%3Dall%26c1%3DAND%26q1%3D%26f1%3Dall%26acc%3Don%26wc%3Don%26Search%3DSearch%26sd%3D%26ed%3D%26la%3D%26jo%3D&amp;prevSearch=&amp;item=6&amp;ttl=127&amp;returnArticleService=showFullText&amp;resultsServiceName=n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471292?&amp;Search=yes&amp;searchText=de&amp;searchText=Sonata&amp;searchText=oto%C3%B1o&amp;searchText=del&amp;searchText=Ram%C3%B3n&amp;searchText=Valle-Incl%C3%A1n&amp;list=hide&amp;searchUri=%2Faction%2FdoAdvancedSearch%3Fq0%3DRam%25C3%25B3n%2Bdel%2BValle-Incl%25C3%25A1n%26f0%3Dall%26c1%3DAND%26q1%3DSonata%2Bde%2Boto%25C3%25B1o%26f1%3Dall%26acc%3Don%26wc%3Don%26Search%3DSearch%26sd%3D%26ed%3D%26la%3D%26jo%3D&amp;prevSearch=&amp;item=7&amp;ttl=65&amp;returnArticleService=showFull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stor.org/sici?sici=0026-7910%281989%29104%3A2%3C351%3ATNAFEV%3E2.0.CO%3B2-1&amp;origin=serialsolu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stor.org/sici?sici=0034-9593%281970%2936%3A1%3C21%3A%22IVISD%3E2.0.CO%3B2-G&amp;origin=serialsolu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25642018?&amp;Search=yes&amp;searchText=de&amp;searchText=Sonata&amp;searchText=oto%C3%B1o&amp;list=hide&amp;searchUri=%2Faction%2FdoAdvancedSearch%3Fq0%3DSonata%2Bde%2Boto%25C3%25B1o%26f0%3Dall%26c1%3DAND%26q1%3D%26f1%3Dall%26acc%3Don%26wc%3Don%26Search%3DSearch%26sd%3D%26ed%3D%26la%3D%26jo%3D&amp;prevSearch=&amp;item=12&amp;ttl=127&amp;returnArticleService=show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Pozzi</cp:lastModifiedBy>
  <cp:revision>2</cp:revision>
  <dcterms:created xsi:type="dcterms:W3CDTF">2011-11-15T20:45:00Z</dcterms:created>
  <dcterms:modified xsi:type="dcterms:W3CDTF">2011-11-15T20:45:00Z</dcterms:modified>
</cp:coreProperties>
</file>